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A9" w:rsidRDefault="000E14FF" w:rsidP="008E0712">
      <w:pPr>
        <w:spacing w:after="120"/>
        <w:jc w:val="center"/>
        <w:rPr>
          <w:rFonts w:ascii="Gill Sans MT" w:hAnsi="Gill Sans MT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color w:val="002060"/>
          <w:sz w:val="32"/>
          <w:szCs w:val="32"/>
        </w:rPr>
        <w:t>Quality Assurance Manager</w:t>
      </w:r>
    </w:p>
    <w:p w:rsidR="008E0712" w:rsidRDefault="00186461" w:rsidP="008E0712">
      <w:pPr>
        <w:spacing w:after="120"/>
        <w:jc w:val="center"/>
        <w:rPr>
          <w:rFonts w:ascii="Gill Sans MT" w:hAnsi="Gill Sans MT"/>
          <w:color w:val="002060"/>
          <w:sz w:val="32"/>
          <w:szCs w:val="32"/>
        </w:rPr>
      </w:pPr>
      <w:r w:rsidRPr="004B67A8">
        <w:rPr>
          <w:rFonts w:ascii="Gill Sans MT" w:hAnsi="Gill Sans MT"/>
          <w:b/>
          <w:color w:val="002060"/>
          <w:sz w:val="28"/>
          <w:szCs w:val="28"/>
        </w:rPr>
        <w:t>Buckinghamshire</w:t>
      </w:r>
    </w:p>
    <w:p w:rsidR="008E0712" w:rsidRDefault="008E0712" w:rsidP="008E0712">
      <w:pPr>
        <w:jc w:val="right"/>
        <w:rPr>
          <w:rFonts w:ascii="Gill Sans MT" w:hAnsi="Gill Sans MT"/>
          <w:color w:val="002060"/>
          <w:sz w:val="20"/>
          <w:szCs w:val="20"/>
        </w:rPr>
      </w:pPr>
    </w:p>
    <w:p w:rsidR="008E0712" w:rsidRPr="00975408" w:rsidRDefault="000E14FF" w:rsidP="008E0712">
      <w:pPr>
        <w:rPr>
          <w:rFonts w:ascii="Gill Sans MT" w:hAnsi="Gill Sans MT"/>
          <w:b/>
          <w:color w:val="002060"/>
          <w:sz w:val="22"/>
          <w:szCs w:val="22"/>
        </w:rPr>
      </w:pPr>
      <w:r>
        <w:rPr>
          <w:rFonts w:ascii="Gill Sans MT" w:hAnsi="Gill Sans MT"/>
          <w:b/>
          <w:color w:val="002060"/>
          <w:sz w:val="28"/>
          <w:szCs w:val="28"/>
        </w:rPr>
        <w:t>Ref: PSL4045</w:t>
      </w:r>
      <w:r w:rsidR="008E0712">
        <w:rPr>
          <w:rFonts w:ascii="Gill Sans MT" w:hAnsi="Gill Sans MT"/>
          <w:b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</w:r>
      <w:r w:rsidR="008E0712">
        <w:rPr>
          <w:rFonts w:ascii="Gill Sans MT" w:hAnsi="Gill Sans MT"/>
          <w:color w:val="002060"/>
          <w:sz w:val="28"/>
          <w:szCs w:val="28"/>
        </w:rPr>
        <w:tab/>
        <w:t xml:space="preserve">       </w:t>
      </w:r>
      <w:r w:rsidR="004B67A8">
        <w:rPr>
          <w:rFonts w:ascii="Gill Sans MT" w:hAnsi="Gill Sans MT"/>
          <w:color w:val="002060"/>
          <w:sz w:val="28"/>
          <w:szCs w:val="28"/>
        </w:rPr>
        <w:tab/>
        <w:t xml:space="preserve">   </w:t>
      </w:r>
      <w:r w:rsidR="008E0712">
        <w:rPr>
          <w:rFonts w:ascii="Gill Sans MT" w:hAnsi="Gill Sans MT"/>
          <w:b/>
          <w:color w:val="002060"/>
          <w:sz w:val="28"/>
          <w:szCs w:val="28"/>
        </w:rPr>
        <w:t>Attractive Salary Package</w:t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  <w:t xml:space="preserve"> </w:t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b/>
          <w:color w:val="002060"/>
          <w:sz w:val="22"/>
          <w:szCs w:val="22"/>
        </w:rPr>
        <w:tab/>
        <w:t xml:space="preserve"> </w:t>
      </w:r>
      <w:r w:rsidR="00975408">
        <w:rPr>
          <w:rFonts w:ascii="Gill Sans MT" w:hAnsi="Gill Sans MT"/>
          <w:b/>
          <w:color w:val="002060"/>
          <w:sz w:val="22"/>
          <w:szCs w:val="22"/>
        </w:rPr>
        <w:tab/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Commensurate with experience </w:t>
      </w:r>
    </w:p>
    <w:p w:rsidR="008E0712" w:rsidRPr="00975408" w:rsidRDefault="008E0712" w:rsidP="008E0712">
      <w:pPr>
        <w:rPr>
          <w:rFonts w:ascii="Gill Sans MT" w:hAnsi="Gill Sans MT"/>
          <w:color w:val="002060"/>
          <w:sz w:val="22"/>
          <w:szCs w:val="22"/>
        </w:rPr>
      </w:pPr>
    </w:p>
    <w:p w:rsidR="000E32A3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 xml:space="preserve">Join </w:t>
      </w:r>
      <w:r w:rsidR="000E32A3" w:rsidRPr="00975408">
        <w:rPr>
          <w:rFonts w:ascii="Gill Sans MT" w:hAnsi="Gill Sans MT"/>
          <w:color w:val="002060"/>
          <w:sz w:val="22"/>
          <w:szCs w:val="22"/>
        </w:rPr>
        <w:t xml:space="preserve">a leading global specialist in the provision of technology based solutions, products and services to the global clinical research market.  </w:t>
      </w:r>
      <w:r w:rsidR="004B67A8">
        <w:rPr>
          <w:rFonts w:ascii="Gill Sans MT" w:hAnsi="Gill Sans MT"/>
          <w:color w:val="002060"/>
          <w:sz w:val="22"/>
          <w:szCs w:val="22"/>
        </w:rPr>
        <w:t>Y</w:t>
      </w:r>
      <w:r w:rsidR="00186461">
        <w:rPr>
          <w:rFonts w:ascii="Gill Sans MT" w:hAnsi="Gill Sans MT"/>
          <w:color w:val="002060"/>
          <w:sz w:val="22"/>
          <w:szCs w:val="22"/>
        </w:rPr>
        <w:t>ou will be responsible for maintaining and enforcing quality standards for clinical research operational activities and facilitating the QA function.</w:t>
      </w:r>
    </w:p>
    <w:p w:rsidR="00186461" w:rsidRPr="00975408" w:rsidRDefault="00186461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170E6D" w:rsidRDefault="009B2D06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As QA Manager, you</w:t>
      </w:r>
      <w:r w:rsidR="00EA74C1">
        <w:rPr>
          <w:rFonts w:ascii="Gill Sans MT" w:hAnsi="Gill Sans MT"/>
          <w:color w:val="002060"/>
          <w:sz w:val="22"/>
          <w:szCs w:val="22"/>
        </w:rPr>
        <w:t>r</w:t>
      </w:r>
      <w:r>
        <w:rPr>
          <w:rFonts w:ascii="Gill Sans MT" w:hAnsi="Gill Sans MT"/>
          <w:color w:val="002060"/>
          <w:sz w:val="22"/>
          <w:szCs w:val="22"/>
        </w:rPr>
        <w:t xml:space="preserve"> remit will include conducting internal audits, line managing staff and working to Good Clinical Practice in relation to the 2001/20/EC Directive for trial activities and the company’s ISO 9002 standards and Investor in People Principles.</w:t>
      </w:r>
    </w:p>
    <w:p w:rsidR="009B2D06" w:rsidRDefault="009B2D06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9B2D06" w:rsidRPr="00975408" w:rsidRDefault="009B2D06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8E0712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75408">
        <w:rPr>
          <w:rFonts w:ascii="Gill Sans MT" w:hAnsi="Gill Sans MT"/>
          <w:color w:val="002060"/>
          <w:sz w:val="22"/>
          <w:szCs w:val="22"/>
        </w:rPr>
        <w:t>Key responsibilities will include, but not be limited to:</w:t>
      </w:r>
    </w:p>
    <w:p w:rsidR="008E0712" w:rsidRPr="00975408" w:rsidRDefault="008E0712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</w:p>
    <w:p w:rsidR="00213F19" w:rsidRDefault="00213F19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Facilitating, planning and co-ordinating the preparation and approval of SOPs and QPs in line with the company’s Quality Management System.</w:t>
      </w:r>
    </w:p>
    <w:p w:rsidR="008E0712" w:rsidRPr="00975408" w:rsidRDefault="00213F19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Managing and leading the maintenance and timely revision of SOPs, QMS and Quality Manual and the disseminati</w:t>
      </w:r>
      <w:r w:rsidR="00A94E7B">
        <w:rPr>
          <w:rFonts w:ascii="Gill Sans MT" w:hAnsi="Gill Sans MT"/>
          <w:color w:val="002060"/>
          <w:sz w:val="20"/>
          <w:szCs w:val="20"/>
        </w:rPr>
        <w:t>on of SOPs to appropriate staff, along with provision of effective training.</w:t>
      </w:r>
    </w:p>
    <w:p w:rsidR="008E0712" w:rsidRPr="00975408" w:rsidRDefault="00B9160D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Implementing and maintaining</w:t>
      </w:r>
      <w:r w:rsidR="00213F19">
        <w:rPr>
          <w:rFonts w:ascii="Gill Sans MT" w:hAnsi="Gill Sans MT"/>
          <w:color w:val="002060"/>
          <w:sz w:val="20"/>
          <w:szCs w:val="20"/>
        </w:rPr>
        <w:t xml:space="preserve"> a master schedule of quality observations</w:t>
      </w:r>
      <w:r>
        <w:rPr>
          <w:rFonts w:ascii="Gill Sans MT" w:hAnsi="Gill Sans MT"/>
          <w:color w:val="002060"/>
          <w:sz w:val="20"/>
          <w:szCs w:val="20"/>
        </w:rPr>
        <w:t xml:space="preserve"> to verify operational activities.</w:t>
      </w:r>
    </w:p>
    <w:p w:rsidR="008E0712" w:rsidRPr="00975408" w:rsidRDefault="00B9160D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Facilitating external client au</w:t>
      </w:r>
      <w:r w:rsidR="00AA4C13">
        <w:rPr>
          <w:rFonts w:ascii="Gill Sans MT" w:hAnsi="Gill Sans MT"/>
          <w:color w:val="002060"/>
          <w:sz w:val="20"/>
          <w:szCs w:val="20"/>
        </w:rPr>
        <w:t xml:space="preserve">dits and following up on results.  An integral element of the role is to host and provide support in the preparation and co-ordination of inspections by regulatory authorities and clients. </w:t>
      </w:r>
    </w:p>
    <w:p w:rsidR="008E0712" w:rsidRPr="00975408" w:rsidRDefault="00B9160D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Mentoring and training staff in the audit process, reviewing results of audits and recommending strategies for improvement.</w:t>
      </w:r>
    </w:p>
    <w:p w:rsidR="008E0712" w:rsidRPr="00975408" w:rsidRDefault="00B9160D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Liaising with staff to ensure that there is significant and relevant QA involvement in all operational activities.</w:t>
      </w:r>
    </w:p>
    <w:p w:rsidR="008E0712" w:rsidRPr="00975408" w:rsidRDefault="00B9160D" w:rsidP="008E0712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Supporting the Head of Training to ensure that relevant formal QA t</w:t>
      </w:r>
      <w:r w:rsidR="007F546C">
        <w:rPr>
          <w:rFonts w:ascii="Gill Sans MT" w:hAnsi="Gill Sans MT"/>
          <w:color w:val="002060"/>
          <w:sz w:val="20"/>
          <w:szCs w:val="20"/>
        </w:rPr>
        <w:t>raining programmes are provided.  You will need to be enrolled as a member of BARQA and disseminate information and updates as appropriate.</w:t>
      </w:r>
    </w:p>
    <w:p w:rsidR="007F546C" w:rsidRDefault="007F546C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 xml:space="preserve">To fulfill this role you will need to be a proactive, experienced Clinical Research QA professional, preferably with global experience and possess expertise in GCP and clinical trial regulations.  </w:t>
      </w:r>
    </w:p>
    <w:p w:rsidR="007F546C" w:rsidRDefault="007F546C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Ideally you will have a life sciences background with experience in writing and developing SOPs and quality documents. Validation/GAMP/21CFRpart11/SDLC knowledge is desirable.</w:t>
      </w:r>
      <w:r w:rsidR="004B67A8">
        <w:rPr>
          <w:rFonts w:ascii="Gill Sans MT" w:hAnsi="Gill Sans MT"/>
          <w:color w:val="002060"/>
          <w:sz w:val="22"/>
          <w:szCs w:val="22"/>
        </w:rPr>
        <w:t xml:space="preserve">  You will have experience with managing and mentoring others and help to ensure that QA is a consideration in all company activities.</w:t>
      </w:r>
    </w:p>
    <w:p w:rsidR="004B67A8" w:rsidRDefault="004B67A8" w:rsidP="008E0712">
      <w:pPr>
        <w:spacing w:after="240"/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Strong communication skills will be important in building both internal and external relationships with customers and operational groups.</w:t>
      </w:r>
    </w:p>
    <w:p w:rsidR="008E0712" w:rsidRPr="00975408" w:rsidRDefault="009B2D06" w:rsidP="008E0712">
      <w:pPr>
        <w:jc w:val="both"/>
        <w:rPr>
          <w:rFonts w:ascii="Gill Sans MT" w:hAnsi="Gill Sans MT"/>
          <w:color w:val="002060"/>
          <w:sz w:val="22"/>
          <w:szCs w:val="22"/>
        </w:rPr>
      </w:pPr>
      <w:r>
        <w:rPr>
          <w:rFonts w:ascii="Gill Sans MT" w:hAnsi="Gill Sans MT"/>
          <w:color w:val="002060"/>
          <w:sz w:val="22"/>
          <w:szCs w:val="22"/>
        </w:rPr>
        <w:t>This is a great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 xml:space="preserve"> opportunity to join a highly successful business, </w:t>
      </w:r>
      <w:r>
        <w:rPr>
          <w:rFonts w:ascii="Gill Sans MT" w:hAnsi="Gill Sans MT"/>
          <w:color w:val="002060"/>
          <w:sz w:val="22"/>
          <w:szCs w:val="22"/>
        </w:rPr>
        <w:t xml:space="preserve">where you will report directly to the Managing Director on initiatives and actions and </w:t>
      </w:r>
      <w:r w:rsidR="008E0712" w:rsidRPr="00975408">
        <w:rPr>
          <w:rFonts w:ascii="Gill Sans MT" w:hAnsi="Gill Sans MT"/>
          <w:color w:val="002060"/>
          <w:sz w:val="22"/>
          <w:szCs w:val="22"/>
        </w:rPr>
        <w:t>where the long t</w:t>
      </w:r>
      <w:r>
        <w:rPr>
          <w:rFonts w:ascii="Gill Sans MT" w:hAnsi="Gill Sans MT"/>
          <w:color w:val="002060"/>
          <w:sz w:val="22"/>
          <w:szCs w:val="22"/>
        </w:rPr>
        <w:t>erm career prospects are excellent.</w:t>
      </w:r>
    </w:p>
    <w:p w:rsidR="000C026A" w:rsidRDefault="000C026A" w:rsidP="008E0712">
      <w:pPr>
        <w:jc w:val="both"/>
        <w:rPr>
          <w:rFonts w:ascii="Gill Sans MT" w:hAnsi="Gill Sans MT"/>
          <w:color w:val="002060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8E0712" w:rsidRDefault="008E0712" w:rsidP="008E071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For further information or a discussion in complete confidence, please contact Dr Grant Coren,</w:t>
      </w:r>
    </w:p>
    <w:p w:rsidR="008E0712" w:rsidRDefault="008E0712" w:rsidP="008E0712">
      <w:pPr>
        <w:jc w:val="center"/>
        <w:rPr>
          <w:rFonts w:ascii="Gill Sans MT" w:hAnsi="Gill Sans MT"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 xml:space="preserve">Pharma-Search Ltd - </w:t>
      </w:r>
      <w:hyperlink r:id="rId8" w:history="1">
        <w:r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p w:rsidR="004D5652" w:rsidRPr="008E0712" w:rsidRDefault="004D5652" w:rsidP="008E0712"/>
    <w:sectPr w:rsidR="004D5652" w:rsidRPr="008E0712" w:rsidSect="009754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63" w:rsidRDefault="00915063" w:rsidP="006922CA">
      <w:r>
        <w:separator/>
      </w:r>
    </w:p>
  </w:endnote>
  <w:endnote w:type="continuationSeparator" w:id="0">
    <w:p w:rsidR="00915063" w:rsidRDefault="00915063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06" w:rsidRDefault="009B2D06" w:rsidP="006F185F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35962A3A" wp14:editId="5CDED380">
          <wp:extent cx="2381250" cy="352425"/>
          <wp:effectExtent l="19050" t="0" r="0" b="0"/>
          <wp:docPr id="3" name="Picture 1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D06" w:rsidRDefault="009B2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63" w:rsidRDefault="00915063" w:rsidP="006922CA">
      <w:r>
        <w:separator/>
      </w:r>
    </w:p>
  </w:footnote>
  <w:footnote w:type="continuationSeparator" w:id="0">
    <w:p w:rsidR="00915063" w:rsidRDefault="00915063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06" w:rsidRDefault="0091506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06" w:rsidRDefault="00915063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9B2D0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06" w:rsidRDefault="0091506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120pt" o:bullet="t">
        <v:imagedata r:id="rId1" o:title="clip_image001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60744"/>
    <w:rsid w:val="00075398"/>
    <w:rsid w:val="000A30A9"/>
    <w:rsid w:val="000C026A"/>
    <w:rsid w:val="000E14FF"/>
    <w:rsid w:val="000E32A3"/>
    <w:rsid w:val="000E7EB1"/>
    <w:rsid w:val="001061A8"/>
    <w:rsid w:val="00115BFB"/>
    <w:rsid w:val="00121D3B"/>
    <w:rsid w:val="00170E6D"/>
    <w:rsid w:val="00186461"/>
    <w:rsid w:val="00205146"/>
    <w:rsid w:val="00205BA0"/>
    <w:rsid w:val="00211F36"/>
    <w:rsid w:val="00213F19"/>
    <w:rsid w:val="002E5BCD"/>
    <w:rsid w:val="00300D47"/>
    <w:rsid w:val="003247CC"/>
    <w:rsid w:val="00392A94"/>
    <w:rsid w:val="003A4647"/>
    <w:rsid w:val="00402A02"/>
    <w:rsid w:val="00413642"/>
    <w:rsid w:val="004A13DE"/>
    <w:rsid w:val="004B67A8"/>
    <w:rsid w:val="004D5652"/>
    <w:rsid w:val="004E763A"/>
    <w:rsid w:val="005119D6"/>
    <w:rsid w:val="00526F2B"/>
    <w:rsid w:val="005352FB"/>
    <w:rsid w:val="00536152"/>
    <w:rsid w:val="00542B31"/>
    <w:rsid w:val="00577AE7"/>
    <w:rsid w:val="00583253"/>
    <w:rsid w:val="0058600D"/>
    <w:rsid w:val="005964C0"/>
    <w:rsid w:val="005A3358"/>
    <w:rsid w:val="005C0A4D"/>
    <w:rsid w:val="0068208A"/>
    <w:rsid w:val="00685052"/>
    <w:rsid w:val="006922CA"/>
    <w:rsid w:val="006B2E31"/>
    <w:rsid w:val="006C1380"/>
    <w:rsid w:val="006E15C3"/>
    <w:rsid w:val="006F185F"/>
    <w:rsid w:val="00734E3B"/>
    <w:rsid w:val="007609C5"/>
    <w:rsid w:val="00771251"/>
    <w:rsid w:val="0079179E"/>
    <w:rsid w:val="007C5883"/>
    <w:rsid w:val="007D7F36"/>
    <w:rsid w:val="007F546C"/>
    <w:rsid w:val="008E0712"/>
    <w:rsid w:val="00915063"/>
    <w:rsid w:val="00932FCE"/>
    <w:rsid w:val="00944109"/>
    <w:rsid w:val="00975408"/>
    <w:rsid w:val="00994FE4"/>
    <w:rsid w:val="009B2D06"/>
    <w:rsid w:val="00A45E1D"/>
    <w:rsid w:val="00A9402D"/>
    <w:rsid w:val="00A94E7B"/>
    <w:rsid w:val="00AA4C13"/>
    <w:rsid w:val="00AD120D"/>
    <w:rsid w:val="00AD370F"/>
    <w:rsid w:val="00B113D3"/>
    <w:rsid w:val="00B31B5B"/>
    <w:rsid w:val="00B8734A"/>
    <w:rsid w:val="00B9160D"/>
    <w:rsid w:val="00BD0510"/>
    <w:rsid w:val="00BE18F9"/>
    <w:rsid w:val="00C64E2D"/>
    <w:rsid w:val="00D0367B"/>
    <w:rsid w:val="00D06A3F"/>
    <w:rsid w:val="00D16808"/>
    <w:rsid w:val="00D52064"/>
    <w:rsid w:val="00DA3195"/>
    <w:rsid w:val="00E529AD"/>
    <w:rsid w:val="00EA74C1"/>
    <w:rsid w:val="00EB24EE"/>
    <w:rsid w:val="00EC0355"/>
    <w:rsid w:val="00F04EE6"/>
    <w:rsid w:val="00F050A6"/>
    <w:rsid w:val="00F31015"/>
    <w:rsid w:val="00F44496"/>
    <w:rsid w:val="00F846B8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Ros Winchester</cp:lastModifiedBy>
  <cp:revision>2</cp:revision>
  <cp:lastPrinted>2013-06-13T13:16:00Z</cp:lastPrinted>
  <dcterms:created xsi:type="dcterms:W3CDTF">2013-06-28T10:45:00Z</dcterms:created>
  <dcterms:modified xsi:type="dcterms:W3CDTF">2013-06-28T10:45:00Z</dcterms:modified>
</cp:coreProperties>
</file>